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7ADE1" w14:textId="77777777" w:rsidR="00470463" w:rsidRPr="00470463" w:rsidRDefault="00470463" w:rsidP="00470463">
      <w:pPr>
        <w:rPr>
          <w:rFonts w:ascii="Arial" w:hAnsi="Arial" w:cs="Arial"/>
          <w:b/>
        </w:rPr>
      </w:pPr>
      <w:r w:rsidRPr="00470463">
        <w:rPr>
          <w:rFonts w:ascii="Arial" w:hAnsi="Arial" w:cs="Arial"/>
          <w:b/>
        </w:rPr>
        <w:t xml:space="preserve">Other Health Impairment </w:t>
      </w:r>
    </w:p>
    <w:p w14:paraId="782666C1" w14:textId="07C9E3F0" w:rsidR="00470463" w:rsidRDefault="00470463" w:rsidP="00470463">
      <w:pPr>
        <w:rPr>
          <w:rFonts w:ascii="Arial" w:hAnsi="Arial" w:cs="Arial"/>
        </w:rPr>
      </w:pPr>
      <w:r w:rsidRPr="00470463">
        <w:rPr>
          <w:rFonts w:ascii="Arial" w:hAnsi="Arial" w:cs="Arial"/>
        </w:rPr>
        <w:t xml:space="preserve">Other </w:t>
      </w:r>
      <w:r>
        <w:rPr>
          <w:rFonts w:ascii="Arial" w:hAnsi="Arial" w:cs="Arial"/>
        </w:rPr>
        <w:t>H</w:t>
      </w:r>
      <w:r w:rsidRPr="00470463">
        <w:rPr>
          <w:rFonts w:ascii="Arial" w:hAnsi="Arial" w:cs="Arial"/>
        </w:rPr>
        <w:t xml:space="preserve">ealth </w:t>
      </w:r>
      <w:r>
        <w:rPr>
          <w:rFonts w:ascii="Arial" w:hAnsi="Arial" w:cs="Arial"/>
        </w:rPr>
        <w:t>I</w:t>
      </w:r>
      <w:r w:rsidRPr="00470463">
        <w:rPr>
          <w:rFonts w:ascii="Arial" w:hAnsi="Arial" w:cs="Arial"/>
        </w:rPr>
        <w:t xml:space="preserve">mpairment </w:t>
      </w:r>
      <w:r w:rsidR="009261B3">
        <w:rPr>
          <w:rFonts w:ascii="Arial" w:hAnsi="Arial" w:cs="Arial"/>
        </w:rPr>
        <w:t xml:space="preserve">(OHI) </w:t>
      </w:r>
      <w:r w:rsidRPr="00470463">
        <w:rPr>
          <w:rFonts w:ascii="Arial" w:hAnsi="Arial" w:cs="Arial"/>
        </w:rPr>
        <w:t xml:space="preserve">means having limited strength, vitality, or alertness, including a heightened alertness to environmental stimuli, that results in limited alertness with respect to the educational environment, that is due to chronic or acute health problems such as asthma, attention deficit disorder or attention deficit hyperactivity disorder, diabetes, epilepsy, a heart condition, hemophilia, lead poisoning, leukemia, nephritis, rheumatic fever, sickle cell anemia, and Tourette Syndrome; and adversely affects the child’s educational performance.  (34 CFR Sec. 300.8(c)(9)) </w:t>
      </w:r>
    </w:p>
    <w:p w14:paraId="673A1BE4" w14:textId="77777777" w:rsidR="00301FCE" w:rsidRPr="00470463" w:rsidRDefault="00301FCE" w:rsidP="00470463">
      <w:pPr>
        <w:rPr>
          <w:rFonts w:ascii="Arial" w:hAnsi="Arial" w:cs="Arial"/>
        </w:rPr>
      </w:pPr>
    </w:p>
    <w:p w14:paraId="791266BA" w14:textId="3B4CF263" w:rsidR="00470463" w:rsidRDefault="009261B3" w:rsidP="00470463">
      <w:pPr>
        <w:rPr>
          <w:rFonts w:ascii="Arial" w:hAnsi="Arial" w:cs="Arial"/>
        </w:rPr>
      </w:pPr>
      <w:r>
        <w:rPr>
          <w:rFonts w:ascii="Arial" w:hAnsi="Arial" w:cs="Arial"/>
        </w:rPr>
        <w:t>T</w:t>
      </w:r>
      <w:r w:rsidR="00470463" w:rsidRPr="00470463">
        <w:rPr>
          <w:rFonts w:ascii="Arial" w:hAnsi="Arial" w:cs="Arial"/>
        </w:rPr>
        <w:t xml:space="preserve">he presence of a medical diagnosis or a diagnosis based on current DSM criteria does not make a child automatically eligible for special education and related services under Individuals </w:t>
      </w:r>
      <w:r>
        <w:rPr>
          <w:rFonts w:ascii="Arial" w:hAnsi="Arial" w:cs="Arial"/>
        </w:rPr>
        <w:t>w</w:t>
      </w:r>
      <w:r w:rsidR="00470463" w:rsidRPr="00470463">
        <w:rPr>
          <w:rFonts w:ascii="Arial" w:hAnsi="Arial" w:cs="Arial"/>
        </w:rPr>
        <w:t xml:space="preserve">ith Disabilities Education Act (IDEA 2004). Determination of eligibility for special education and related services is based on both: (a) an identified disability as defined by IDEA (2004) and (b) a documented need for special education and related services. </w:t>
      </w:r>
    </w:p>
    <w:p w14:paraId="11FBA3C6" w14:textId="77777777" w:rsidR="00301FCE" w:rsidRDefault="00301FCE" w:rsidP="00470463">
      <w:pPr>
        <w:rPr>
          <w:rFonts w:ascii="Arial" w:hAnsi="Arial" w:cs="Arial"/>
        </w:rPr>
      </w:pPr>
    </w:p>
    <w:p w14:paraId="7FC826E6" w14:textId="47E4BDDF" w:rsidR="00D655FE" w:rsidRPr="00D655FE" w:rsidRDefault="00D655FE" w:rsidP="00192B54">
      <w:pPr>
        <w:rPr>
          <w:rFonts w:ascii="Arial" w:hAnsi="Arial" w:cs="Arial"/>
          <w:b/>
        </w:rPr>
      </w:pPr>
      <w:bookmarkStart w:id="0" w:name="_Hlk521337192"/>
      <w:bookmarkStart w:id="1" w:name="_Hlk521336912"/>
      <w:r w:rsidRPr="00D655FE">
        <w:rPr>
          <w:rFonts w:ascii="Arial" w:hAnsi="Arial" w:cs="Arial"/>
          <w:b/>
        </w:rPr>
        <w:t>Eligibility Determination</w:t>
      </w:r>
    </w:p>
    <w:p w14:paraId="6EBBA122" w14:textId="2C5624A2" w:rsidR="00192B54" w:rsidRDefault="00192B54" w:rsidP="00192B54">
      <w:pPr>
        <w:rPr>
          <w:rFonts w:ascii="Arial" w:hAnsi="Arial" w:cs="Arial"/>
        </w:rPr>
      </w:pPr>
      <w:r w:rsidRPr="003C0983">
        <w:rPr>
          <w:rFonts w:ascii="Arial" w:hAnsi="Arial" w:cs="Arial"/>
        </w:rPr>
        <w:t xml:space="preserve">The New Mexico TEAM (DEC. 2017) guidelines were followed for this current assessment. Based on current assessments and data from multiple sources: </w:t>
      </w:r>
    </w:p>
    <w:p w14:paraId="46346913" w14:textId="77777777" w:rsidR="00301FCE" w:rsidRPr="003C0983" w:rsidRDefault="00301FCE" w:rsidP="00192B54">
      <w:pPr>
        <w:rPr>
          <w:rFonts w:ascii="Arial" w:hAnsi="Arial" w:cs="Arial"/>
        </w:rPr>
      </w:pPr>
    </w:p>
    <w:p w14:paraId="2F2175C9" w14:textId="77777777" w:rsidR="00192B54" w:rsidRPr="00B65CB4" w:rsidRDefault="00192B54" w:rsidP="00192B54">
      <w:pPr>
        <w:pStyle w:val="ListParagraph"/>
        <w:numPr>
          <w:ilvl w:val="0"/>
          <w:numId w:val="1"/>
        </w:numPr>
        <w:rPr>
          <w:rFonts w:ascii="Arial" w:hAnsi="Arial" w:cs="Arial"/>
          <w:sz w:val="22"/>
          <w:szCs w:val="22"/>
        </w:rPr>
      </w:pPr>
      <w:r w:rsidRPr="00B65CB4">
        <w:rPr>
          <w:rFonts w:ascii="Arial" w:hAnsi="Arial" w:cs="Arial"/>
          <w:sz w:val="22"/>
          <w:szCs w:val="22"/>
        </w:rPr>
        <w:t xml:space="preserve">A lack of appropriate instruction in reading or math </w:t>
      </w:r>
      <w:bookmarkStart w:id="2" w:name="_GoBack"/>
      <w:r w:rsidRPr="00B65CB4">
        <w:rPr>
          <w:rFonts w:ascii="Arial" w:hAnsi="Arial" w:cs="Arial"/>
          <w:sz w:val="22"/>
          <w:szCs w:val="22"/>
        </w:rPr>
        <w:fldChar w:fldCharType="begin">
          <w:ffData>
            <w:name w:val="Dropdown7"/>
            <w:enabled/>
            <w:calcOnExit w:val="0"/>
            <w:ddList>
              <w:listEntry w:val="is"/>
              <w:listEntry w:val="is not"/>
            </w:ddList>
          </w:ffData>
        </w:fldChar>
      </w:r>
      <w:bookmarkStart w:id="3" w:name="Dropdown7"/>
      <w:r w:rsidRPr="00B65CB4">
        <w:rPr>
          <w:rFonts w:ascii="Arial" w:hAnsi="Arial" w:cs="Arial"/>
          <w:sz w:val="22"/>
          <w:szCs w:val="22"/>
        </w:rPr>
        <w:instrText xml:space="preserve"> FORMDROPDOWN </w:instrText>
      </w:r>
      <w:r w:rsidR="00D655FE">
        <w:rPr>
          <w:rFonts w:ascii="Arial" w:hAnsi="Arial" w:cs="Arial"/>
          <w:sz w:val="22"/>
          <w:szCs w:val="22"/>
        </w:rPr>
      </w:r>
      <w:r w:rsidR="00D655FE">
        <w:rPr>
          <w:rFonts w:ascii="Arial" w:hAnsi="Arial" w:cs="Arial"/>
          <w:sz w:val="22"/>
          <w:szCs w:val="22"/>
        </w:rPr>
        <w:fldChar w:fldCharType="separate"/>
      </w:r>
      <w:r w:rsidRPr="00B65CB4">
        <w:rPr>
          <w:rFonts w:ascii="Arial" w:hAnsi="Arial" w:cs="Arial"/>
          <w:sz w:val="22"/>
          <w:szCs w:val="22"/>
        </w:rPr>
        <w:fldChar w:fldCharType="end"/>
      </w:r>
      <w:bookmarkEnd w:id="3"/>
      <w:bookmarkEnd w:id="2"/>
      <w:r w:rsidRPr="00B65CB4">
        <w:rPr>
          <w:rFonts w:ascii="Arial" w:hAnsi="Arial" w:cs="Arial"/>
          <w:sz w:val="22"/>
          <w:szCs w:val="22"/>
        </w:rPr>
        <w:t xml:space="preserve"> a determinant factor. </w:t>
      </w:r>
    </w:p>
    <w:p w14:paraId="31B07CB5" w14:textId="77777777" w:rsidR="00192B54" w:rsidRDefault="00192B54" w:rsidP="00192B54">
      <w:pPr>
        <w:pStyle w:val="ListParagraph"/>
        <w:numPr>
          <w:ilvl w:val="0"/>
          <w:numId w:val="1"/>
        </w:numPr>
        <w:rPr>
          <w:rFonts w:ascii="Arial" w:hAnsi="Arial" w:cs="Arial"/>
          <w:sz w:val="22"/>
          <w:szCs w:val="22"/>
        </w:rPr>
      </w:pPr>
      <w:r w:rsidRPr="00B65CB4">
        <w:rPr>
          <w:rFonts w:ascii="Arial" w:hAnsi="Arial" w:cs="Arial"/>
          <w:sz w:val="22"/>
          <w:szCs w:val="22"/>
        </w:rPr>
        <w:t xml:space="preserve">Limited English proficiency </w:t>
      </w:r>
      <w:r w:rsidRPr="00B65CB4">
        <w:rPr>
          <w:rFonts w:ascii="Arial" w:hAnsi="Arial" w:cs="Arial"/>
          <w:sz w:val="22"/>
          <w:szCs w:val="22"/>
        </w:rPr>
        <w:fldChar w:fldCharType="begin">
          <w:ffData>
            <w:name w:val="Dropdown7"/>
            <w:enabled/>
            <w:calcOnExit w:val="0"/>
            <w:ddList>
              <w:listEntry w:val="is"/>
              <w:listEntry w:val="is not"/>
            </w:ddList>
          </w:ffData>
        </w:fldChar>
      </w:r>
      <w:r w:rsidRPr="00B65CB4">
        <w:rPr>
          <w:rFonts w:ascii="Arial" w:hAnsi="Arial" w:cs="Arial"/>
          <w:sz w:val="22"/>
          <w:szCs w:val="22"/>
        </w:rPr>
        <w:instrText xml:space="preserve"> FORMDROPDOWN </w:instrText>
      </w:r>
      <w:r w:rsidR="00D655FE">
        <w:rPr>
          <w:rFonts w:ascii="Arial" w:hAnsi="Arial" w:cs="Arial"/>
          <w:sz w:val="22"/>
          <w:szCs w:val="22"/>
        </w:rPr>
      </w:r>
      <w:r w:rsidR="00D655FE">
        <w:rPr>
          <w:rFonts w:ascii="Arial" w:hAnsi="Arial" w:cs="Arial"/>
          <w:sz w:val="22"/>
          <w:szCs w:val="22"/>
        </w:rPr>
        <w:fldChar w:fldCharType="separate"/>
      </w:r>
      <w:r w:rsidRPr="00B65CB4">
        <w:rPr>
          <w:rFonts w:ascii="Arial" w:hAnsi="Arial" w:cs="Arial"/>
          <w:sz w:val="22"/>
          <w:szCs w:val="22"/>
        </w:rPr>
        <w:fldChar w:fldCharType="end"/>
      </w:r>
      <w:r w:rsidRPr="00B65CB4">
        <w:rPr>
          <w:rFonts w:ascii="Arial" w:hAnsi="Arial" w:cs="Arial"/>
          <w:sz w:val="22"/>
          <w:szCs w:val="22"/>
        </w:rPr>
        <w:t xml:space="preserve"> a determinant factor; </w:t>
      </w:r>
    </w:p>
    <w:p w14:paraId="5AACF9AE" w14:textId="38F35E74" w:rsidR="00192B54" w:rsidRDefault="00192B54" w:rsidP="00192B54">
      <w:pPr>
        <w:pStyle w:val="ListParagraph"/>
        <w:numPr>
          <w:ilvl w:val="0"/>
          <w:numId w:val="1"/>
        </w:numPr>
        <w:rPr>
          <w:rFonts w:ascii="Arial" w:hAnsi="Arial" w:cs="Arial"/>
          <w:sz w:val="22"/>
          <w:szCs w:val="22"/>
        </w:rPr>
      </w:pPr>
      <w:r>
        <w:rPr>
          <w:rFonts w:ascii="Arial" w:hAnsi="Arial" w:cs="Arial"/>
          <w:sz w:val="22"/>
          <w:szCs w:val="22"/>
        </w:rPr>
        <w:fldChar w:fldCharType="begin">
          <w:ffData>
            <w:name w:val="Dropdown8"/>
            <w:enabled/>
            <w:calcOnExit w:val="0"/>
            <w:ddList>
              <w:listEntry w:val="No other"/>
              <w:listEntry w:val="Another"/>
            </w:ddList>
          </w:ffData>
        </w:fldChar>
      </w:r>
      <w:bookmarkStart w:id="4" w:name="Dropdown8"/>
      <w:r>
        <w:rPr>
          <w:rFonts w:ascii="Arial" w:hAnsi="Arial" w:cs="Arial"/>
          <w:sz w:val="22"/>
          <w:szCs w:val="22"/>
        </w:rPr>
        <w:instrText xml:space="preserve"> FORMDROPDOWN </w:instrText>
      </w:r>
      <w:r w:rsidR="00D655FE">
        <w:rPr>
          <w:rFonts w:ascii="Arial" w:hAnsi="Arial" w:cs="Arial"/>
          <w:sz w:val="22"/>
          <w:szCs w:val="22"/>
        </w:rPr>
      </w:r>
      <w:r w:rsidR="00D655FE">
        <w:rPr>
          <w:rFonts w:ascii="Arial" w:hAnsi="Arial" w:cs="Arial"/>
          <w:sz w:val="22"/>
          <w:szCs w:val="22"/>
        </w:rPr>
        <w:fldChar w:fldCharType="separate"/>
      </w:r>
      <w:r>
        <w:rPr>
          <w:rFonts w:ascii="Arial" w:hAnsi="Arial" w:cs="Arial"/>
          <w:sz w:val="22"/>
          <w:szCs w:val="22"/>
        </w:rPr>
        <w:fldChar w:fldCharType="end"/>
      </w:r>
      <w:bookmarkEnd w:id="4"/>
      <w:r>
        <w:rPr>
          <w:rFonts w:ascii="Arial" w:hAnsi="Arial" w:cs="Arial"/>
          <w:sz w:val="22"/>
          <w:szCs w:val="22"/>
        </w:rPr>
        <w:t xml:space="preserve"> </w:t>
      </w:r>
      <w:r w:rsidRPr="00B3615E">
        <w:rPr>
          <w:rFonts w:ascii="Arial" w:hAnsi="Arial" w:cs="Arial"/>
          <w:sz w:val="22"/>
          <w:szCs w:val="22"/>
        </w:rPr>
        <w:t xml:space="preserve">eligibility category better describes the child’s disability; and </w:t>
      </w:r>
    </w:p>
    <w:p w14:paraId="6B7B649A" w14:textId="2D54E78F" w:rsidR="00192B54" w:rsidRDefault="00192B54" w:rsidP="00192B54">
      <w:pPr>
        <w:pStyle w:val="ListParagraph"/>
        <w:numPr>
          <w:ilvl w:val="0"/>
          <w:numId w:val="1"/>
        </w:numPr>
        <w:rPr>
          <w:rFonts w:ascii="Arial" w:hAnsi="Arial" w:cs="Arial"/>
          <w:sz w:val="22"/>
          <w:szCs w:val="22"/>
        </w:rPr>
      </w:pPr>
      <w:r>
        <w:rPr>
          <w:rFonts w:ascii="Arial" w:hAnsi="Arial" w:cs="Arial"/>
          <w:sz w:val="22"/>
          <w:szCs w:val="22"/>
        </w:rPr>
        <w:t xml:space="preserve">The assessment and evaluation demonstrate the child </w:t>
      </w:r>
      <w:r>
        <w:rPr>
          <w:rFonts w:ascii="Arial" w:hAnsi="Arial" w:cs="Arial"/>
          <w:sz w:val="22"/>
          <w:szCs w:val="22"/>
        </w:rPr>
        <w:fldChar w:fldCharType="begin">
          <w:ffData>
            <w:name w:val="Dropdown9"/>
            <w:enabled/>
            <w:calcOnExit w:val="0"/>
            <w:ddList>
              <w:listEntry w:val="does meet"/>
              <w:listEntry w:val="does not meet"/>
            </w:ddList>
          </w:ffData>
        </w:fldChar>
      </w:r>
      <w:bookmarkStart w:id="5" w:name="Dropdown9"/>
      <w:r>
        <w:rPr>
          <w:rFonts w:ascii="Arial" w:hAnsi="Arial" w:cs="Arial"/>
          <w:sz w:val="22"/>
          <w:szCs w:val="22"/>
        </w:rPr>
        <w:instrText xml:space="preserve"> FORMDROPDOWN </w:instrText>
      </w:r>
      <w:r w:rsidR="00D655FE">
        <w:rPr>
          <w:rFonts w:ascii="Arial" w:hAnsi="Arial" w:cs="Arial"/>
          <w:sz w:val="22"/>
          <w:szCs w:val="22"/>
        </w:rPr>
      </w:r>
      <w:r w:rsidR="00D655FE">
        <w:rPr>
          <w:rFonts w:ascii="Arial" w:hAnsi="Arial" w:cs="Arial"/>
          <w:sz w:val="22"/>
          <w:szCs w:val="22"/>
        </w:rPr>
        <w:fldChar w:fldCharType="separate"/>
      </w:r>
      <w:r>
        <w:rPr>
          <w:rFonts w:ascii="Arial" w:hAnsi="Arial" w:cs="Arial"/>
          <w:sz w:val="22"/>
          <w:szCs w:val="22"/>
        </w:rPr>
        <w:fldChar w:fldCharType="end"/>
      </w:r>
      <w:bookmarkEnd w:id="5"/>
      <w:r>
        <w:rPr>
          <w:rFonts w:ascii="Arial" w:hAnsi="Arial" w:cs="Arial"/>
          <w:sz w:val="22"/>
          <w:szCs w:val="22"/>
        </w:rPr>
        <w:t xml:space="preserve"> the requirements of the OHI definition.</w:t>
      </w:r>
    </w:p>
    <w:p w14:paraId="2D4420BB" w14:textId="7A2FB4C0" w:rsidR="00D655FE" w:rsidRPr="00D655FE" w:rsidRDefault="00D655FE" w:rsidP="00D655FE">
      <w:pPr>
        <w:rPr>
          <w:rFonts w:ascii="Arial" w:hAnsi="Arial" w:cs="Arial"/>
        </w:rPr>
      </w:pPr>
      <w:r>
        <w:rPr>
          <w:rFonts w:ascii="Arial" w:hAnsi="Arial" w:cs="Arial"/>
        </w:rPr>
        <w:fldChar w:fldCharType="begin">
          <w:ffData>
            <w:name w:val="Text1"/>
            <w:enabled/>
            <w:calcOnExit w:val="0"/>
            <w:textInput/>
          </w:ffData>
        </w:fldChar>
      </w:r>
      <w:bookmarkStart w:id="6"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bookmarkEnd w:id="0"/>
    <w:p w14:paraId="19D20BFE" w14:textId="77777777" w:rsidR="00192B54" w:rsidRPr="00192B54" w:rsidRDefault="00192B54" w:rsidP="00192B54">
      <w:pPr>
        <w:rPr>
          <w:rFonts w:ascii="Arial" w:hAnsi="Arial" w:cs="Arial"/>
        </w:rPr>
      </w:pPr>
    </w:p>
    <w:bookmarkEnd w:id="1"/>
    <w:p w14:paraId="0181E1AF" w14:textId="77777777" w:rsidR="00192B54" w:rsidRPr="00470463" w:rsidRDefault="00192B54" w:rsidP="00470463">
      <w:pPr>
        <w:rPr>
          <w:rFonts w:ascii="Arial" w:hAnsi="Arial" w:cs="Arial"/>
        </w:rPr>
      </w:pPr>
    </w:p>
    <w:sectPr w:rsidR="00192B54" w:rsidRPr="00470463" w:rsidSect="004704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71ACF"/>
    <w:multiLevelType w:val="hybridMultilevel"/>
    <w:tmpl w:val="4BA08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63"/>
    <w:rsid w:val="00192B54"/>
    <w:rsid w:val="00301FCE"/>
    <w:rsid w:val="0033321B"/>
    <w:rsid w:val="00470463"/>
    <w:rsid w:val="00564DEF"/>
    <w:rsid w:val="009261B3"/>
    <w:rsid w:val="00D655FE"/>
    <w:rsid w:val="00FA0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E8EF2"/>
  <w15:chartTrackingRefBased/>
  <w15:docId w15:val="{D4C673A2-C152-43B2-8E90-05DF8046D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B54"/>
    <w:pPr>
      <w:spacing w:after="120" w:line="264" w:lineRule="auto"/>
      <w:ind w:left="720"/>
      <w:contextualSpacing/>
    </w:pPr>
    <w:rPr>
      <w:rFonts w:eastAsiaTheme="minorEastAsia"/>
      <w:sz w:val="20"/>
      <w:szCs w:val="20"/>
    </w:rPr>
  </w:style>
  <w:style w:type="paragraph" w:styleId="BalloonText">
    <w:name w:val="Balloon Text"/>
    <w:basedOn w:val="Normal"/>
    <w:link w:val="BalloonTextChar"/>
    <w:uiPriority w:val="99"/>
    <w:semiHidden/>
    <w:unhideWhenUsed/>
    <w:rsid w:val="00192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B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12</cp:revision>
  <cp:lastPrinted>2018-08-06T22:24:00Z</cp:lastPrinted>
  <dcterms:created xsi:type="dcterms:W3CDTF">2018-06-26T00:17:00Z</dcterms:created>
  <dcterms:modified xsi:type="dcterms:W3CDTF">2018-08-08T12:43:00Z</dcterms:modified>
</cp:coreProperties>
</file>